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Theme="majorEastAsia" w:hAnsiTheme="majorEastAsia" w:eastAsiaTheme="majorEastAsia" w:cstheme="majorEastAsia"/>
          <w:sz w:val="36"/>
          <w:szCs w:val="21"/>
          <w:lang w:val="en-US" w:eastAsia="zh-CN"/>
        </w:rPr>
      </w:pPr>
      <w:r>
        <w:rPr>
          <w:rFonts w:hint="eastAsia" w:ascii="方正小标宋简体" w:hAnsi="方正小标宋简体" w:eastAsia="方正小标宋简体" w:cs="方正小标宋简体"/>
          <w:b w:val="0"/>
          <w:bCs/>
          <w:sz w:val="44"/>
          <w:szCs w:val="44"/>
          <w:lang w:val="en-US" w:eastAsia="zh-CN"/>
        </w:rPr>
        <w:t>抚顺平顶山惨案纪念馆2023年工作报告</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为深入贯彻落实习近平总书记关于东北、辽宁振兴发展的重要讲话和指示批示精神以及辽宁省、抚顺市“全面振兴新突破三年行动”，抚顺平顶山惨案纪念馆在抚顺市文化旅游发展促进中心的正确领导下，勠力同心、真抓实干，一步一个脚印为抚顺文旅事业添砖加瓦，现将抚顺平顶山惨案纪念馆2023年工作汇报如下</w:t>
      </w:r>
      <w:r>
        <w:rPr>
          <w:rFonts w:hint="eastAsia" w:ascii="仿宋_GB2312" w:hAnsi="仿宋_GB2312" w:eastAsia="仿宋_GB2312" w:cs="仿宋_GB2312"/>
          <w:sz w:val="32"/>
          <w:szCs w:val="32"/>
          <w:lang w:val="en-US" w:eastAsia="zh-CN"/>
        </w:rPr>
        <w:t>:</w:t>
      </w:r>
    </w:p>
    <w:p>
      <w:pPr>
        <w:pStyle w:val="11"/>
        <w:numPr>
          <w:ilvl w:val="0"/>
          <w:numId w:val="1"/>
        </w:numPr>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rPr>
        <w:t>传承红色基因，开展主题鲜明的教育活动</w:t>
      </w:r>
    </w:p>
    <w:p>
      <w:pPr>
        <w:pStyle w:val="11"/>
        <w:numPr>
          <w:ilvl w:val="0"/>
          <w:numId w:val="0"/>
        </w:numPr>
        <w:ind w:leftChars="0" w:firstLine="320" w:firstLineChars="1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val="en-US"/>
        </w:rPr>
        <w:t>举办重要节点的大型纪念活动，提升社会影响力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纪念馆开展“清明祭扫”活动，开展“5.18国际博物馆日”宣传活动。</w:t>
      </w:r>
      <w:r>
        <w:rPr>
          <w:rFonts w:hint="eastAsia" w:ascii="仿宋_GB2312" w:hAnsi="仿宋_GB2312" w:eastAsia="仿宋_GB2312" w:cs="仿宋_GB2312"/>
          <w:sz w:val="32"/>
          <w:szCs w:val="32"/>
          <w:lang w:val="en-US" w:eastAsia="zh-CN"/>
        </w:rPr>
        <w:t>7月7日</w:t>
      </w:r>
      <w:r>
        <w:rPr>
          <w:rFonts w:hint="eastAsia" w:ascii="仿宋_GB2312" w:hAnsi="仿宋_GB2312" w:eastAsia="仿宋_GB2312" w:cs="仿宋_GB2312"/>
          <w:sz w:val="32"/>
          <w:szCs w:val="32"/>
          <w:lang w:eastAsia="zh-CN"/>
        </w:rPr>
        <w:t>纪念馆</w:t>
      </w:r>
      <w:r>
        <w:rPr>
          <w:rFonts w:hint="eastAsia" w:ascii="仿宋_GB2312" w:hAnsi="仿宋_GB2312" w:eastAsia="仿宋_GB2312" w:cs="仿宋_GB2312"/>
          <w:b w:val="0"/>
          <w:bCs w:val="0"/>
          <w:color w:val="auto"/>
          <w:kern w:val="0"/>
          <w:sz w:val="32"/>
          <w:szCs w:val="32"/>
          <w:shd w:val="clear" w:color="auto" w:fill="FFFFFF"/>
          <w:lang w:val="en-US" w:eastAsia="zh-CN"/>
        </w:rPr>
        <w:t>与全国革命类纪念馆同步举行纪念全民族抗战爆发86周年活动仪式。</w:t>
      </w:r>
      <w:r>
        <w:rPr>
          <w:rFonts w:hint="eastAsia" w:ascii="仿宋_GB2312" w:hAnsi="仿宋_GB2312" w:eastAsia="仿宋_GB2312" w:cs="仿宋_GB2312"/>
          <w:b w:val="0"/>
          <w:bCs w:val="0"/>
          <w:sz w:val="32"/>
          <w:szCs w:val="32"/>
          <w:lang w:val="en-US" w:eastAsia="zh-CN"/>
        </w:rPr>
        <w:t>9月16日，纪念馆开展“9.16”</w:t>
      </w:r>
      <w:r>
        <w:rPr>
          <w:rStyle w:val="10"/>
          <w:rFonts w:hint="eastAsia" w:ascii="仿宋_GB2312" w:hAnsi="仿宋_GB2312" w:eastAsia="仿宋_GB2312" w:cs="仿宋_GB2312"/>
          <w:b w:val="0"/>
          <w:bCs w:val="0"/>
          <w:sz w:val="32"/>
          <w:szCs w:val="32"/>
          <w:lang w:val="en-US" w:eastAsia="zh-CN"/>
        </w:rPr>
        <w:t>抚顺平顶山同胞遇难91周年公祭活动。</w:t>
      </w:r>
      <w:r>
        <w:rPr>
          <w:rFonts w:hint="eastAsia" w:ascii="仿宋_GB2312" w:hAnsi="仿宋_GB2312" w:eastAsia="仿宋_GB2312" w:cs="仿宋_GB2312"/>
          <w:sz w:val="32"/>
          <w:szCs w:val="32"/>
          <w:lang w:val="en-US" w:eastAsia="zh-CN"/>
        </w:rPr>
        <w:t>9月18日，纪念馆开展“铭记九一八事变爆发92周年”活动。</w:t>
      </w:r>
      <w:r>
        <w:rPr>
          <w:rFonts w:hint="eastAsia" w:ascii="仿宋_GB2312" w:hAnsi="仿宋_GB2312" w:eastAsia="仿宋_GB2312" w:cs="仿宋_GB2312"/>
          <w:b w:val="0"/>
          <w:bCs w:val="0"/>
          <w:sz w:val="32"/>
          <w:szCs w:val="32"/>
          <w:lang w:val="en-US" w:eastAsia="zh-CN"/>
        </w:rPr>
        <w:t>12月13日，组织举行“国家公祭日”悼念活动。</w:t>
      </w:r>
    </w:p>
    <w:p>
      <w:pPr>
        <w:pStyle w:val="2"/>
        <w:numPr>
          <w:ilvl w:val="0"/>
          <w:numId w:val="2"/>
        </w:numPr>
        <w:ind w:firstLine="320" w:firstLineChars="1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充分发挥教育基地功能，用文明优质服务夯实教育效果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纪念馆为社会各界群体开展</w:t>
      </w:r>
      <w:r>
        <w:rPr>
          <w:rFonts w:hint="eastAsia" w:ascii="仿宋_GB2312" w:hAnsi="仿宋_GB2312" w:eastAsia="仿宋_GB2312" w:cs="仿宋_GB2312"/>
          <w:sz w:val="32"/>
          <w:szCs w:val="32"/>
        </w:rPr>
        <w:t>形式多样的爱国主义教育活动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民进、民建等民主党派团体和各界团体组织分别来馆组织开展多种形式的主题教育活动。“六一儿童节”</w:t>
      </w:r>
      <w:r>
        <w:rPr>
          <w:rFonts w:hint="eastAsia" w:ascii="仿宋_GB2312" w:hAnsi="仿宋_GB2312" w:eastAsia="仿宋_GB2312" w:cs="仿宋_GB2312"/>
          <w:b w:val="0"/>
          <w:bCs w:val="0"/>
          <w:sz w:val="32"/>
          <w:szCs w:val="32"/>
          <w:lang w:val="en-US" w:eastAsia="zh-CN"/>
        </w:rPr>
        <w:t>开展儿童节赠书活动。向来馆参观的少年儿童赠送“中国纪念馆故事”系列丛书。纪念馆共接待观众30余万人次，提供免费讲解服务近1000场。日常接待时陈列馆多媒体大屏幕向参观者播放“社会主义核心价值观”“</w:t>
      </w:r>
      <w:r>
        <w:rPr>
          <w:rFonts w:hint="eastAsia" w:ascii="仿宋_GB2312" w:hAnsi="仿宋_GB2312" w:eastAsia="仿宋_GB2312" w:cs="仿宋_GB2312"/>
          <w:color w:val="auto"/>
          <w:sz w:val="32"/>
          <w:szCs w:val="32"/>
          <w:lang w:val="en-US" w:eastAsia="zh-CN"/>
        </w:rPr>
        <w:t>党的二十大报告”等</w:t>
      </w:r>
      <w:r>
        <w:rPr>
          <w:rFonts w:hint="eastAsia" w:ascii="仿宋_GB2312" w:hAnsi="仿宋_GB2312" w:eastAsia="仿宋_GB2312" w:cs="仿宋_GB2312"/>
          <w:b w:val="0"/>
          <w:bCs w:val="0"/>
          <w:sz w:val="32"/>
          <w:szCs w:val="32"/>
          <w:lang w:val="en-US" w:eastAsia="zh-CN"/>
        </w:rPr>
        <w:t>相关知识视频。同时纪念馆重视优质文明服务。向参观游客提供优质的便民服务，定期进行馆内消杀、更换厕纸、提供轮椅等。</w:t>
      </w:r>
    </w:p>
    <w:p>
      <w:pPr>
        <w:pStyle w:val="11"/>
        <w:numPr>
          <w:ilvl w:val="0"/>
          <w:numId w:val="2"/>
        </w:numPr>
        <w:ind w:left="0" w:leftChars="0" w:firstLine="320" w:firstLineChars="1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利用多平台宣传推介，传承红色基因</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纪念馆参加了第二届中国（武汉）文化旅游博览会、2023东北亚（沈阳）文化旅游创意博览会。对外宣传平顶山惨案纪念馆、宣讲抗战历史、弘扬红色文化。今年</w:t>
      </w:r>
      <w:r>
        <w:rPr>
          <w:rFonts w:hint="eastAsia" w:ascii="仿宋_GB2312" w:hAnsi="仿宋_GB2312" w:eastAsia="仿宋_GB2312" w:cs="仿宋_GB2312"/>
          <w:sz w:val="32"/>
          <w:szCs w:val="32"/>
          <w:lang w:eastAsia="zh-CN"/>
        </w:rPr>
        <w:t>与抚顺市文化旅游发展促进中心及海洋大学开展馆校联合开展思政课教育情况</w:t>
      </w:r>
      <w:r>
        <w:rPr>
          <w:rFonts w:hint="eastAsia" w:ascii="仿宋_GB2312" w:hAnsi="仿宋_GB2312" w:eastAsia="仿宋_GB2312" w:cs="仿宋_GB2312"/>
          <w:sz w:val="32"/>
          <w:szCs w:val="32"/>
          <w:lang w:val="en-US" w:eastAsia="zh-CN"/>
        </w:rPr>
        <w:t>专题调研，实现馆校联动，用红色文化铸魂育人。纪念馆</w:t>
      </w:r>
      <w:r>
        <w:rPr>
          <w:rFonts w:hint="eastAsia" w:ascii="仿宋_GB2312" w:hAnsi="仿宋_GB2312" w:eastAsia="仿宋_GB2312" w:cs="仿宋_GB2312"/>
          <w:b w:val="0"/>
          <w:bCs w:val="0"/>
          <w:sz w:val="32"/>
          <w:szCs w:val="32"/>
          <w:lang w:val="en-US" w:eastAsia="zh-CN"/>
        </w:rPr>
        <w:t>在《抚顺日报》以《赓续红色基因 创造美好生活》为题整版刊登抚顺平顶山惨案纪念馆工作纪实，向广大市民推介抚顺平顶山惨案纪念馆，并且</w:t>
      </w:r>
      <w:r>
        <w:rPr>
          <w:rFonts w:hint="eastAsia" w:ascii="仿宋_GB2312" w:hAnsi="仿宋_GB2312" w:eastAsia="仿宋_GB2312" w:cs="仿宋_GB2312"/>
          <w:sz w:val="32"/>
          <w:szCs w:val="32"/>
          <w:lang w:eastAsia="zh-CN"/>
        </w:rPr>
        <w:t>在《抚顺日报》刊登连载馆藏文物，撰写文物故事。</w:t>
      </w: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lang w:eastAsia="zh-CN"/>
        </w:rPr>
        <w:t>完善基础设施，做好基地建设</w:t>
      </w:r>
    </w:p>
    <w:p>
      <w:pPr>
        <w:pStyle w:val="2"/>
        <w:ind w:firstLine="320" w:firstLineChars="1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（一）完成国家专项项目落实工作</w:t>
      </w:r>
    </w:p>
    <w:p>
      <w:pPr>
        <w:pStyle w:val="2"/>
        <w:ind w:firstLine="640" w:firstLineChars="200"/>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完成抚顺平顶山惨案纪念馆安防系统升级改造和平顶山惨案遗址维修工程保护检测项目的招投标工作。安防升级改造项目已经开始施工，预计年底完工。遗址维修保护工程监测项目预计10月全面开展工程施工工作。</w:t>
      </w:r>
    </w:p>
    <w:p>
      <w:pPr>
        <w:keepNext w:val="0"/>
        <w:keepLines w:val="0"/>
        <w:pageBreakBefore w:val="0"/>
        <w:widowControl w:val="0"/>
        <w:numPr>
          <w:ilvl w:val="0"/>
          <w:numId w:val="3"/>
        </w:numPr>
        <w:kinsoku/>
        <w:wordWrap/>
        <w:overflowPunct/>
        <w:topLinePunct w:val="0"/>
        <w:autoSpaceDE/>
        <w:autoSpaceDN/>
        <w:bidi w:val="0"/>
        <w:adjustRightInd/>
        <w:snapToGrid/>
        <w:spacing w:line="120" w:lineRule="auto"/>
        <w:ind w:firstLine="320" w:firstLineChars="100"/>
        <w:textAlignment w:val="auto"/>
        <w:rPr>
          <w:rStyle w:val="10"/>
          <w:rFonts w:hint="eastAsia" w:ascii="楷体" w:hAnsi="楷体" w:eastAsia="楷体" w:cs="楷体"/>
          <w:b w:val="0"/>
          <w:bCs w:val="0"/>
          <w:sz w:val="32"/>
          <w:szCs w:val="32"/>
          <w:lang w:eastAsia="zh-CN"/>
        </w:rPr>
      </w:pPr>
      <w:r>
        <w:rPr>
          <w:rStyle w:val="10"/>
          <w:rFonts w:hint="eastAsia" w:ascii="楷体" w:hAnsi="楷体" w:eastAsia="楷体" w:cs="楷体"/>
          <w:b w:val="0"/>
          <w:bCs w:val="0"/>
          <w:sz w:val="32"/>
          <w:szCs w:val="32"/>
          <w:lang w:eastAsia="zh-CN"/>
        </w:rPr>
        <w:t>完善安防、消防等基础设施更新工作</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消防、安防设备器材的更换和升级。完成遗址馆消防水池清淤工作。完成遗址馆除湿机设备更换工作，更换陈列馆电线，维修玻璃幕墙，升级改造服务中心卫生间，设制无障碍停车位，办公区、陈列馆防水，地砖维修更换。</w:t>
      </w:r>
    </w:p>
    <w:p>
      <w:pPr>
        <w:numPr>
          <w:ilvl w:val="0"/>
          <w:numId w:val="3"/>
        </w:numPr>
        <w:ind w:left="0" w:leftChars="0" w:firstLine="320" w:firstLineChars="1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完善文物库房管理制度工作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建立《平顶山惨案纪念馆文物安全工作考核评价机制》。按照省文物局《关于开展抗战文物核查相关工作的通知》的要求，完成抗战文物核查工作。</w:t>
      </w:r>
    </w:p>
    <w:p>
      <w:pPr>
        <w:keepNext w:val="0"/>
        <w:keepLines w:val="0"/>
        <w:pageBreakBefore w:val="0"/>
        <w:widowControl w:val="0"/>
        <w:numPr>
          <w:ilvl w:val="0"/>
          <w:numId w:val="0"/>
        </w:numPr>
        <w:kinsoku/>
        <w:wordWrap/>
        <w:overflowPunct/>
        <w:topLinePunct w:val="0"/>
        <w:autoSpaceDE/>
        <w:autoSpaceDN/>
        <w:bidi w:val="0"/>
        <w:adjustRightInd/>
        <w:snapToGrid/>
        <w:ind w:left="321" w:leftChars="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（四）完善便民服务设施</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增加安检机，场内便民服务车等便民服务设施。完成</w:t>
      </w:r>
      <w:r>
        <w:rPr>
          <w:rFonts w:hint="eastAsia" w:ascii="仿宋_GB2312" w:hAnsi="仿宋_GB2312" w:eastAsia="仿宋_GB2312" w:cs="仿宋_GB2312"/>
          <w:sz w:val="32"/>
          <w:szCs w:val="32"/>
          <w:lang w:val="en-US" w:eastAsia="zh-CN"/>
        </w:rPr>
        <w:t>园林维护项目、 安保服务项目、基础运行服务项目、服务中心升级改造项目、陈列馆尾厅翻新项目、陈列馆出口新增教育活动场地电子屏及交互系统项目、保洁服务项目。</w:t>
      </w:r>
    </w:p>
    <w:p>
      <w:pPr>
        <w:pStyle w:val="11"/>
        <w:numPr>
          <w:ilvl w:val="0"/>
          <w:numId w:val="0"/>
        </w:numPr>
        <w:ind w:left="300" w:leftChars="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（五）逐步推进改陈布展工作</w:t>
      </w:r>
    </w:p>
    <w:p>
      <w:pPr>
        <w:pStyle w:val="11"/>
        <w:numPr>
          <w:ilvl w:val="0"/>
          <w:numId w:val="0"/>
        </w:numPr>
        <w:ind w:left="0" w:leftChars="0" w:firstLine="720" w:firstLineChars="225"/>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完成改陈大纲的完善工作，优化内容结构、提高政治站位。细化改陈方案，对其中计划增加的多媒体等科技手段、互动模块等进行实际应用方面的细节调整。</w:t>
      </w:r>
    </w:p>
    <w:p>
      <w:pPr>
        <w:pStyle w:val="2"/>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三、做好业务培训和馆际交流</w:t>
      </w:r>
    </w:p>
    <w:p>
      <w:pPr>
        <w:numPr>
          <w:ilvl w:val="0"/>
          <w:numId w:val="0"/>
        </w:numPr>
        <w:ind w:firstLine="320" w:firstLineChars="1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（一）组织员工外出业务学习交流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组织部分员工到沈阳“九·一八”历史博物馆、中共满洲省委旧址纪念馆、沈阳故宫博物院、铁岭市博物馆、辽河博物馆和银冈书院（铁岭周恩来少年读书旧址）开展业务交流学习。</w:t>
      </w:r>
      <w:r>
        <w:rPr>
          <w:rFonts w:hint="eastAsia" w:ascii="仿宋_GB2312" w:hAnsi="仿宋_GB2312" w:eastAsia="仿宋_GB2312" w:cs="仿宋_GB2312"/>
          <w:b w:val="0"/>
          <w:bCs w:val="0"/>
          <w:sz w:val="32"/>
          <w:szCs w:val="32"/>
          <w:lang w:val="en-US" w:eastAsia="zh-CN"/>
        </w:rPr>
        <w:t>到雷锋学院观看介绍雷锋事迹的演出《心愿》，学习雷锋精神。</w:t>
      </w:r>
    </w:p>
    <w:p>
      <w:pPr>
        <w:numPr>
          <w:ilvl w:val="0"/>
          <w:numId w:val="4"/>
        </w:numPr>
        <w:ind w:firstLine="320" w:firstLineChars="1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组织员工开展系列讲座学习</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组织全馆员工开展“学习宣传贯彻党的二十大精神”系列学习活动。纪念馆与国家税务总局抚顺胜利经济开发区税务局开展共建活动，税务局的专家对纪念馆员工开展了系列讲座。开展《纵论抚顺历史文化》专题讲座。开展消防演练、安全生产、紧急救援等系列讲座。每月两次对宣教员工进行业务知识培训，提升专业服务能力。</w:t>
      </w:r>
    </w:p>
    <w:p>
      <w:pPr>
        <w:numPr>
          <w:ilvl w:val="0"/>
          <w:numId w:val="4"/>
        </w:numPr>
        <w:ind w:left="0" w:leftChars="0" w:firstLine="320" w:firstLineChars="10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组织员工参加业务比赛</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纪念馆讲解员王婉婷参加“第二届各省区市社科普及基地讲解员大赛辽宁地区选拔赛”荣获“优秀讲解员”的称号，省社科联颁发了荣誉证书；参加中共辽宁省委宣传部、辽宁省妇女联合会、辽宁省文化和旅游厅联合举办的“振兴新突破 巾帼勇争先”辽宁省巾帼红色讲解员大赛并荣获比赛三等奖。</w:t>
      </w: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四、取得成效日益丰富，影响力不断提升</w:t>
      </w:r>
    </w:p>
    <w:p>
      <w:pPr>
        <w:numPr>
          <w:ilvl w:val="0"/>
          <w:numId w:val="0"/>
        </w:numPr>
        <w:ind w:firstLine="320" w:firstLineChars="100"/>
        <w:jc w:val="both"/>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（一）纪念馆成功举办多主题临时展览</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物馆日期间，抚顺平顶山惨案纪念馆与抚顺市博物馆和抚顺战犯管理所旧址陈列馆共同推出“博物馆、可持续性与美好生活”专题图片展；由中国人民抗日战争纪念馆、抚顺市文化旅游和广播电视局、抚顺市文化旅游发展促进中心主办，我馆承办《为抗战吹响号角——中国共产党与抗战文化》临时展览也与2023年9月16日正式开展。</w:t>
      </w:r>
    </w:p>
    <w:p>
      <w:pPr>
        <w:numPr>
          <w:ilvl w:val="0"/>
          <w:numId w:val="5"/>
        </w:numPr>
        <w:ind w:firstLine="320" w:firstLineChars="100"/>
        <w:jc w:val="both"/>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获赠珍贵文物史料</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2023年，我馆获</w:t>
      </w:r>
      <w:r>
        <w:rPr>
          <w:rFonts w:hint="eastAsia" w:ascii="仿宋_GB2312" w:hAnsi="仿宋_GB2312" w:eastAsia="仿宋_GB2312" w:cs="仿宋_GB2312"/>
          <w:sz w:val="32"/>
          <w:szCs w:val="32"/>
          <w:lang w:eastAsia="zh-CN"/>
        </w:rPr>
        <w:t>赠珍贵文物史料——《昭和六七年满洲事变一关东军纪念写真帖》（一册），《世界的宝库——满蒙的富源》明信片（一</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lang w:eastAsia="zh-CN"/>
        </w:rPr>
        <w:t>）和《日露战争实际》（十三本）。</w:t>
      </w:r>
    </w:p>
    <w:p>
      <w:pPr>
        <w:pStyle w:val="2"/>
        <w:rPr>
          <w:rFonts w:hint="eastAsia" w:ascii="仿宋" w:hAnsi="仿宋" w:eastAsia="仿宋" w:cs="仿宋"/>
          <w:sz w:val="32"/>
          <w:szCs w:val="32"/>
        </w:rPr>
      </w:pPr>
      <w:bookmarkStart w:id="0" w:name="_GoBack"/>
      <w:bookmarkEnd w:id="0"/>
    </w:p>
    <w:p>
      <w:pPr>
        <w:pStyle w:val="2"/>
        <w:rPr>
          <w:rFonts w:hint="eastAsia" w:ascii="楷体" w:hAnsi="楷体" w:eastAsia="楷体" w:cs="楷体"/>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2"/>
          <w:szCs w:val="32"/>
          <w:lang w:val="en-US" w:eastAsia="zh-CN"/>
        </w:rPr>
        <w:t xml:space="preserve"> 抚顺平顶山惨案纪念馆</w:t>
      </w:r>
    </w:p>
    <w:p>
      <w:pPr>
        <w:pStyle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2023年12月30日</w:t>
      </w:r>
    </w:p>
    <w:p>
      <w:pPr>
        <w:pStyle w:val="2"/>
        <w:rPr>
          <w:rFonts w:hint="eastAsia" w:ascii="仿宋_GB2312" w:hAnsi="仿宋_GB2312" w:eastAsia="仿宋_GB2312" w:cs="仿宋_GB2312"/>
          <w:b/>
          <w:bCs/>
          <w:sz w:val="32"/>
          <w:szCs w:val="32"/>
          <w:lang w:val="en-US" w:eastAsia="zh-CN"/>
        </w:rPr>
      </w:pPr>
    </w:p>
    <w:p>
      <w:pPr>
        <w:pStyle w:val="2"/>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numPr>
          <w:ilvl w:val="0"/>
          <w:numId w:val="0"/>
        </w:numPr>
        <w:ind w:left="321" w:leftChars="0"/>
        <w:rPr>
          <w:rFonts w:hint="eastAsia" w:ascii="仿宋_GB2312" w:hAnsi="仿宋_GB2312" w:eastAsia="仿宋_GB2312" w:cs="仿宋_GB2312"/>
          <w:sz w:val="32"/>
          <w:szCs w:val="32"/>
          <w:lang w:val="en-US" w:eastAsia="zh-CN"/>
        </w:rPr>
      </w:pPr>
    </w:p>
    <w:p>
      <w:pPr>
        <w:pStyle w:val="2"/>
        <w:numPr>
          <w:ilvl w:val="0"/>
          <w:numId w:val="0"/>
        </w:numPr>
        <w:rPr>
          <w:rFonts w:hint="eastAsia" w:ascii="仿宋_GB2312" w:hAnsi="仿宋_GB2312" w:eastAsia="仿宋_GB2312" w:cs="仿宋_GB2312"/>
          <w:sz w:val="32"/>
          <w:szCs w:val="32"/>
          <w:lang w:eastAsia="zh-CN"/>
        </w:rPr>
      </w:pPr>
    </w:p>
    <w:p>
      <w:pPr>
        <w:pStyle w:val="2"/>
        <w:numPr>
          <w:ilvl w:val="0"/>
          <w:numId w:val="0"/>
        </w:numPr>
        <w:rPr>
          <w:rFonts w:hint="eastAsia" w:ascii="仿宋_GB2312" w:hAnsi="仿宋_GB2312" w:eastAsia="仿宋_GB2312" w:cs="仿宋_GB2312"/>
          <w:sz w:val="32"/>
          <w:szCs w:val="32"/>
          <w:lang w:val="en-US" w:eastAsia="zh-CN"/>
        </w:rPr>
      </w:pPr>
    </w:p>
    <w:p>
      <w:pPr>
        <w:pStyle w:val="2"/>
        <w:numPr>
          <w:ilvl w:val="0"/>
          <w:numId w:val="0"/>
        </w:num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ind w:firstLine="560" w:firstLineChars="200"/>
        <w:jc w:val="left"/>
        <w:rPr>
          <w:rFonts w:hint="eastAsia" w:ascii="宋体" w:hAnsi="宋体" w:eastAsia="宋体" w:cs="宋体"/>
          <w:b w:val="0"/>
          <w:bCs w:val="0"/>
          <w:sz w:val="28"/>
          <w:szCs w:val="28"/>
          <w:lang w:val="en-US" w:eastAsia="zh-CN"/>
        </w:rPr>
      </w:pPr>
    </w:p>
    <w:p>
      <w:pPr>
        <w:numPr>
          <w:ilvl w:val="0"/>
          <w:numId w:val="0"/>
        </w:numPr>
        <w:ind w:leftChars="200"/>
        <w:rPr>
          <w:rFonts w:hint="eastAsia" w:ascii="宋体" w:hAnsi="宋体" w:eastAsia="宋体" w:cs="宋体"/>
          <w:sz w:val="28"/>
          <w:szCs w:val="28"/>
          <w:lang w:eastAsia="zh-CN"/>
        </w:rPr>
      </w:pPr>
    </w:p>
    <w:p>
      <w:pPr>
        <w:pStyle w:val="3"/>
        <w:numPr>
          <w:ilvl w:val="0"/>
          <w:numId w:val="0"/>
        </w:numPr>
        <w:bidi w:val="0"/>
        <w:ind w:firstLine="562" w:firstLineChars="200"/>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Cambria">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abstractNum w:abstractNumId="3">
    <w:nsid w:val="00000004"/>
    <w:multiLevelType w:val="singleLevel"/>
    <w:tmpl w:val="00000004"/>
    <w:lvl w:ilvl="0" w:tentative="0">
      <w:start w:val="2"/>
      <w:numFmt w:val="chineseCounting"/>
      <w:suff w:val="nothing"/>
      <w:lvlText w:val="（%1）"/>
      <w:lvlJc w:val="left"/>
      <w:rPr>
        <w:rFonts w:hint="eastAsia"/>
      </w:rPr>
    </w:lvl>
  </w:abstractNum>
  <w:abstractNum w:abstractNumId="4">
    <w:nsid w:val="00000005"/>
    <w:multiLevelType w:val="multilevel"/>
    <w:tmpl w:val="00000005"/>
    <w:lvl w:ilvl="0" w:tentative="0">
      <w:start w:val="1"/>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F7CAD"/>
    <w:rsid w:val="75FCAE4C"/>
    <w:rsid w:val="7EFF8853"/>
    <w:rsid w:val="7F3F7196"/>
    <w:rsid w:val="ED5FA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rFonts w:ascii="Calibri" w:hAnsi="Calibri" w:eastAsia="宋体" w:cs="Times New Roman"/>
      <w:b/>
      <w:kern w:val="44"/>
      <w:sz w:val="44"/>
    </w:rPr>
  </w:style>
  <w:style w:type="paragraph" w:styleId="4">
    <w:name w:val="heading 4"/>
    <w:basedOn w:val="1"/>
    <w:next w:val="1"/>
    <w:qFormat/>
    <w:uiPriority w:val="0"/>
    <w:pPr>
      <w:keepNext/>
      <w:keepLines/>
      <w:spacing w:before="280" w:beforeAutospacing="0" w:after="290" w:afterAutospacing="0" w:line="372" w:lineRule="auto"/>
      <w:outlineLvl w:val="3"/>
    </w:pPr>
    <w:rPr>
      <w:rFonts w:ascii="Arial" w:hAnsi="Arial" w:eastAsia="黑体" w:cs="Times New Roman"/>
      <w:b/>
      <w:sz w:val="28"/>
    </w:rPr>
  </w:style>
  <w:style w:type="character" w:default="1" w:styleId="9">
    <w:name w:val="Default Paragraph Font"/>
    <w:qFormat/>
    <w:uiPriority w:val="0"/>
    <w:rPr>
      <w:rFonts w:ascii="Calibri" w:hAnsi="Calibri" w:eastAsia="宋体" w:cs="Times New Roman"/>
    </w:rPr>
  </w:style>
  <w:style w:type="table" w:default="1" w:styleId="8">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rPr>
  </w:style>
  <w:style w:type="character" w:customStyle="1" w:styleId="10">
    <w:name w:val="NormalCharacter"/>
    <w:qFormat/>
    <w:uiPriority w:val="0"/>
    <w:rPr>
      <w:rFonts w:ascii="Calibri" w:hAnsi="Calibri" w:eastAsia="宋体" w:cs="Times New Roma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2873</Words>
  <Characters>2918</Characters>
  <Paragraphs>82</Paragraphs>
  <TotalTime>15</TotalTime>
  <ScaleCrop>false</ScaleCrop>
  <LinksUpToDate>false</LinksUpToDate>
  <CharactersWithSpaces>2985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2022-06-13T09:33:00Z</dcterms:created>
  <dc:creator>fushunshi</dc:creator>
  <cp:lastModifiedBy>fushunshi</cp:lastModifiedBy>
  <dcterms:modified xsi:type="dcterms:W3CDTF">2024-02-23T15:53:49Z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86CD6CE3A80945ABAFADF08DE99B8989_13</vt:lpwstr>
  </property>
</Properties>
</file>